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pPr>
      <w:bookmarkStart w:colFirst="0" w:colLast="0" w:name="_heading=h.t04210p7l0mb" w:id="0"/>
      <w:bookmarkEnd w:id="0"/>
      <w:r w:rsidDel="00000000" w:rsidR="00000000" w:rsidRPr="00000000">
        <w:rPr/>
        <w:drawing>
          <wp:inline distB="114300" distT="114300" distL="114300" distR="114300">
            <wp:extent cx="1906425" cy="1906425"/>
            <wp:effectExtent b="0" l="0" r="0" t="0"/>
            <wp:docPr id="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906425" cy="1906425"/>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rPr/>
      </w:pPr>
      <w:bookmarkStart w:colFirst="0" w:colLast="0" w:name="_heading=h.t4u7g5tybsf7" w:id="1"/>
      <w:bookmarkEnd w:id="1"/>
      <w:r w:rsidDel="00000000" w:rsidR="00000000" w:rsidRPr="00000000">
        <w:rPr>
          <w:rtl w:val="0"/>
        </w:rPr>
      </w:r>
    </w:p>
    <w:p w:rsidR="00000000" w:rsidDel="00000000" w:rsidP="00000000" w:rsidRDefault="00000000" w:rsidRPr="00000000" w14:paraId="00000003">
      <w:pPr>
        <w:rPr/>
      </w:pPr>
      <w:bookmarkStart w:colFirst="0" w:colLast="0" w:name="_heading=h.tzrjirh6sm5y" w:id="2"/>
      <w:bookmarkEnd w:id="2"/>
      <w:r w:rsidDel="00000000" w:rsidR="00000000" w:rsidRPr="00000000">
        <w:rPr>
          <w:rtl w:val="0"/>
        </w:rPr>
      </w:r>
    </w:p>
    <w:p w:rsidR="00000000" w:rsidDel="00000000" w:rsidP="00000000" w:rsidRDefault="00000000" w:rsidRPr="00000000" w14:paraId="00000004">
      <w:pPr>
        <w:rPr/>
      </w:pPr>
      <w:bookmarkStart w:colFirst="0" w:colLast="0" w:name="_heading=h.d1t5wvjmuig3" w:id="3"/>
      <w:bookmarkEnd w:id="3"/>
      <w:r w:rsidDel="00000000" w:rsidR="00000000" w:rsidRPr="00000000">
        <w:rPr>
          <w:rtl w:val="0"/>
        </w:rPr>
      </w:r>
    </w:p>
    <w:p w:rsidR="00000000" w:rsidDel="00000000" w:rsidP="00000000" w:rsidRDefault="00000000" w:rsidRPr="00000000" w14:paraId="00000005">
      <w:pPr>
        <w:rPr>
          <w:b w:val="1"/>
        </w:rPr>
      </w:pPr>
      <w:bookmarkStart w:colFirst="0" w:colLast="0" w:name="_heading=h.gjdgxs" w:id="4"/>
      <w:bookmarkEnd w:id="4"/>
      <w:r w:rsidDel="00000000" w:rsidR="00000000" w:rsidRPr="00000000">
        <w:rPr>
          <w:b w:val="1"/>
          <w:rtl w:val="0"/>
        </w:rPr>
        <w:t xml:space="preserve">HEALTH AND SAFETY PROTOCOL</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The Academy of Safe Aesthetics has set policies for ensuring health and safety of all staff, trainees and treated cosmetic models. All staff, trainees and models are informed of Health and Safety matters prior to the course stages. The training premises undergoes regular health and safety inspection checks ensuring a safe workplace for training purposes.</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Fire exits and are clearly marked and equipment (including first aid boxes) provided in the event of a fire/accident. A fire warning alarm is sounded with clear instructions to evacuate should such an event occur. Access to emergency services is available should a situation occur that cannot be managed at our training facility.</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Prior to any stage of training or assessment, examiners and clinic coordinators carry out checks on equipment that will be used. Syringes and chemicals that are used during training are inspected to make sure these are in-date and stored at the appropriate temperatures prior to reconstitution. Injecting equipment and needles are appropriately stored and disposed of after use in the sharps-bins provided. Sterile cleaning wipes and gloves are provided for hygiene purposes. These aspects, plus hand hygiene form part of the standardised assessment prior to carrying out treatments and will be inspected by the supervising trainers.</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Violence is not tolerated at the training premises and relevant action will be taken if violent acts towards staff of trainees occur. If trainees partake in violence or any form of abuse towards each other or staff members, disciplinary action may be taken which could affect their award of credit.</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Health and safety protocols are the responsibility of all staff involved in the running of the training stages and assessment, and will be reviewed annually for quality assurance purposes.</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t xml:space="preserve">Review date: 28/02/2025</w:t>
      </w:r>
    </w:p>
    <w:p w:rsidR="00000000" w:rsidDel="00000000" w:rsidP="00000000" w:rsidRDefault="00000000" w:rsidRPr="00000000" w14:paraId="00000013">
      <w:pPr>
        <w:rPr/>
      </w:pPr>
      <w:r w:rsidDel="00000000" w:rsidR="00000000" w:rsidRPr="00000000">
        <w:rPr>
          <w:rtl w:val="0"/>
        </w:rPr>
      </w:r>
    </w:p>
    <w:sectPr>
      <w:pgSz w:h="16840" w:w="1190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VEX/qmLQkrSv5aK5ulsx8dW5p2A==">CgMxLjAyDmgudDA0MjEwcDdsMG1iMg5oLnQ0dTdnNXR5YnNmNzIOaC50enJqaXJoNnNtNXkyDmguZDF0NXd2am11aWczMghoLmdqZGd4czgAciExYkwxMFJBbjZ5bHp4RmZSdHhyb2k1ajNUT2hWRHBBN1c=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